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F7" w:rsidRPr="00C9095F" w:rsidRDefault="001F26F7" w:rsidP="001F26F7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:rsidR="001F26F7" w:rsidRPr="00A51334" w:rsidRDefault="001F26F7" w:rsidP="001F26F7">
      <w:pPr>
        <w:jc w:val="both"/>
        <w:rPr>
          <w:szCs w:val="24"/>
        </w:rPr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1F26F7" w:rsidRPr="00A51334" w:rsidRDefault="001F26F7" w:rsidP="001F26F7">
      <w:pPr>
        <w:jc w:val="both"/>
        <w:rPr>
          <w:szCs w:val="24"/>
        </w:rPr>
      </w:pPr>
    </w:p>
    <w:p w:rsidR="001F26F7" w:rsidRDefault="001F26F7" w:rsidP="001F26F7">
      <w:r w:rsidRPr="00E51681">
        <w:t>ТЕРМИНЫ И ОПРЕДЕЛЕНИЯ</w:t>
      </w:r>
      <w:r>
        <w:t xml:space="preserve"> КОРПОРАТИВНОГО ГЛОССАРИЯ</w:t>
      </w:r>
    </w:p>
    <w:p w:rsidR="001F26F7" w:rsidRPr="00A51334" w:rsidRDefault="001F26F7" w:rsidP="001F26F7">
      <w:pPr>
        <w:rPr>
          <w:szCs w:val="24"/>
        </w:rPr>
      </w:pPr>
    </w:p>
    <w:tbl>
      <w:tblPr>
        <w:tblW w:w="4871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086"/>
        <w:gridCol w:w="424"/>
        <w:gridCol w:w="6090"/>
      </w:tblGrid>
      <w:tr w:rsidR="00C1239A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C1239A" w:rsidRPr="0013270D" w:rsidRDefault="005E6748" w:rsidP="0080575F">
            <w:pPr>
              <w:spacing w:before="120" w:after="120"/>
              <w:rPr>
                <w:szCs w:val="24"/>
              </w:rPr>
            </w:pPr>
            <w:r w:rsidRPr="005E6748">
              <w:t>БУРЕНИЕ СКВАЖИН</w:t>
            </w:r>
          </w:p>
        </w:tc>
        <w:tc>
          <w:tcPr>
            <w:tcW w:w="221" w:type="pct"/>
          </w:tcPr>
          <w:p w:rsidR="00C1239A" w:rsidRDefault="00C1239A" w:rsidP="0080575F">
            <w:pPr>
              <w:spacing w:before="120" w:after="120"/>
              <w:ind w:left="33"/>
            </w:pPr>
            <w:r w:rsidRPr="00C1239A">
              <w:t>–</w:t>
            </w:r>
          </w:p>
        </w:tc>
        <w:tc>
          <w:tcPr>
            <w:tcW w:w="3172" w:type="pct"/>
          </w:tcPr>
          <w:p w:rsidR="00C1239A" w:rsidRDefault="0074234A" w:rsidP="0080575F">
            <w:pPr>
              <w:spacing w:before="120" w:after="120"/>
              <w:ind w:left="33"/>
              <w:jc w:val="both"/>
            </w:pPr>
            <w:r>
              <w:t>э</w:t>
            </w:r>
            <w:r w:rsidR="005E6748" w:rsidRPr="005E6748">
              <w:t>тап строительства скважины, включающий в себя комплекс работ, связанный с проводкой и креплением ствола скважины, а также с испытанием скважины в процессе бурения.</w:t>
            </w:r>
          </w:p>
        </w:tc>
      </w:tr>
      <w:tr w:rsidR="00C1239A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C1239A" w:rsidRPr="0013270D" w:rsidRDefault="005E6748" w:rsidP="0080575F">
            <w:pPr>
              <w:spacing w:before="120" w:after="120"/>
              <w:rPr>
                <w:szCs w:val="24"/>
              </w:rPr>
            </w:pPr>
            <w:r w:rsidRPr="005E6748">
              <w:t>БУРОВОЙ РАСТВОР</w:t>
            </w:r>
            <w:r w:rsidR="00175603">
              <w:t xml:space="preserve"> </w:t>
            </w:r>
            <w:r w:rsidRPr="005E6748">
              <w:t>(БР)</w:t>
            </w:r>
          </w:p>
        </w:tc>
        <w:tc>
          <w:tcPr>
            <w:tcW w:w="221" w:type="pct"/>
          </w:tcPr>
          <w:p w:rsidR="00C1239A" w:rsidRDefault="00C1239A" w:rsidP="0080575F">
            <w:pPr>
              <w:pStyle w:val="afd"/>
              <w:spacing w:before="120" w:after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C1239A" w:rsidRDefault="0074234A" w:rsidP="0080575F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м</w:t>
            </w:r>
            <w:r w:rsidR="005E6748" w:rsidRPr="005E6748">
              <w:t>ногокомпонентная дисперсная система суспензионных, эмульсионных и аэрированных жидкостей, применяемых для промывки скважин в процессе бурения.</w:t>
            </w:r>
          </w:p>
        </w:tc>
      </w:tr>
      <w:tr w:rsidR="00C1239A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C1239A" w:rsidRPr="0013270D" w:rsidRDefault="005E6748" w:rsidP="0080575F">
            <w:pPr>
              <w:spacing w:before="120" w:after="120"/>
              <w:rPr>
                <w:szCs w:val="24"/>
              </w:rPr>
            </w:pPr>
            <w:r w:rsidRPr="005E6748">
              <w:t>БУРОВАЯ ПЛОЩАДКА</w:t>
            </w:r>
          </w:p>
        </w:tc>
        <w:tc>
          <w:tcPr>
            <w:tcW w:w="221" w:type="pct"/>
          </w:tcPr>
          <w:p w:rsidR="00C1239A" w:rsidRDefault="00C1239A" w:rsidP="0080575F">
            <w:pPr>
              <w:pStyle w:val="afd"/>
              <w:spacing w:before="120" w:after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C1239A" w:rsidRDefault="0074234A" w:rsidP="0080575F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т</w:t>
            </w:r>
            <w:r w:rsidR="005E6748" w:rsidRPr="005E6748">
              <w:t>ерритория, отведенная в установленном законодательством порядке для строительства и реконструкции скважин.</w:t>
            </w:r>
          </w:p>
        </w:tc>
      </w:tr>
      <w:tr w:rsidR="00C1239A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C1239A" w:rsidRPr="0013270D" w:rsidRDefault="005E6748" w:rsidP="0080575F">
            <w:pPr>
              <w:spacing w:before="120" w:after="120"/>
              <w:rPr>
                <w:szCs w:val="24"/>
              </w:rPr>
            </w:pPr>
            <w:r w:rsidRPr="005E6748">
              <w:t>БУФЕРНАЯ ЖИДКОСТЬ</w:t>
            </w:r>
          </w:p>
        </w:tc>
        <w:tc>
          <w:tcPr>
            <w:tcW w:w="221" w:type="pct"/>
          </w:tcPr>
          <w:p w:rsidR="00C1239A" w:rsidRPr="007D207C" w:rsidRDefault="00C1239A" w:rsidP="0080575F">
            <w:pPr>
              <w:pStyle w:val="afd"/>
              <w:spacing w:before="120" w:after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C1239A" w:rsidRPr="007D207C" w:rsidRDefault="0074234A" w:rsidP="0080575F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ж</w:t>
            </w:r>
            <w:r w:rsidR="005E6748" w:rsidRPr="005E6748">
              <w:t>идкость, закачиваемая в скважину при выполнении технологических операций для предотвращения смешения разных типов жидкостей и растворов, а также очистки стенок скважины и обсадной колонны.</w:t>
            </w:r>
          </w:p>
        </w:tc>
      </w:tr>
      <w:tr w:rsidR="00C1239A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C1239A" w:rsidRPr="0013270D" w:rsidRDefault="005E6748" w:rsidP="0061710A">
            <w:pPr>
              <w:spacing w:before="120"/>
              <w:rPr>
                <w:szCs w:val="24"/>
              </w:rPr>
            </w:pPr>
            <w:r>
              <w:t>ЗАРЕЗКА БОКОВОГО СТВОЛА (ЗБС)</w:t>
            </w:r>
          </w:p>
        </w:tc>
        <w:tc>
          <w:tcPr>
            <w:tcW w:w="221" w:type="pct"/>
          </w:tcPr>
          <w:p w:rsidR="00C1239A" w:rsidRPr="0013270D" w:rsidRDefault="00C1239A" w:rsidP="0061710A">
            <w:pPr>
              <w:pStyle w:val="afd"/>
              <w:spacing w:before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5E6748" w:rsidRDefault="0074234A" w:rsidP="0061710A">
            <w:pPr>
              <w:pStyle w:val="afd"/>
              <w:spacing w:before="120"/>
              <w:ind w:left="33"/>
              <w:contextualSpacing w:val="0"/>
              <w:jc w:val="both"/>
            </w:pPr>
            <w:r>
              <w:t>к</w:t>
            </w:r>
            <w:r w:rsidR="005E6748">
              <w:t xml:space="preserve">омплекс работ по восстановлению или повышению работоспособности скважин, а также в целях </w:t>
            </w:r>
            <w:proofErr w:type="spellStart"/>
            <w:r w:rsidR="005E6748">
              <w:t>доразведки</w:t>
            </w:r>
            <w:proofErr w:type="spellEnd"/>
            <w:r w:rsidR="005E6748">
              <w:t xml:space="preserve"> запасов методом </w:t>
            </w:r>
            <w:proofErr w:type="spellStart"/>
            <w:r w:rsidR="005E6748">
              <w:t>зарезки</w:t>
            </w:r>
            <w:proofErr w:type="spellEnd"/>
            <w:r w:rsidR="005E6748">
              <w:t xml:space="preserve"> (бурения) боковых стволов или углубления забоя. Применяется с целью </w:t>
            </w:r>
            <w:proofErr w:type="spellStart"/>
            <w:r w:rsidR="005E6748">
              <w:t>доизвлечения</w:t>
            </w:r>
            <w:proofErr w:type="spellEnd"/>
            <w:r w:rsidR="005E6748">
              <w:t xml:space="preserve"> неохваченных ранее разработкой остаточных (неразрабатываемых) запасов углеводородного сырья, вывода из бездействия скважин, а также ликвидации аварий, осложнений.</w:t>
            </w:r>
          </w:p>
          <w:p w:rsidR="00C1239A" w:rsidRPr="0061710A" w:rsidRDefault="005E6748" w:rsidP="00D67BEF">
            <w:pPr>
              <w:pStyle w:val="afd"/>
              <w:spacing w:before="120" w:after="120"/>
              <w:ind w:left="0"/>
              <w:contextualSpacing w:val="0"/>
              <w:jc w:val="both"/>
              <w:rPr>
                <w:i/>
              </w:rPr>
            </w:pPr>
            <w:r w:rsidRPr="0061710A">
              <w:rPr>
                <w:i/>
                <w:u w:val="single"/>
              </w:rPr>
              <w:t>Примечание:</w:t>
            </w:r>
            <w:r w:rsidRPr="0061710A">
              <w:rPr>
                <w:i/>
              </w:rPr>
              <w:t xml:space="preserve"> Комплекс работ подразумевает подготовку скважины к ведению в ней технологических операций, переезд и вышкомонтажные работы, вырезку окна, бурение бокового ствола и его крепление, освоение скважины, объединяет в себе типы работ: восстановление, реконструкцию и углубление скважин методом бурения боковых стволов.</w:t>
            </w:r>
          </w:p>
        </w:tc>
      </w:tr>
      <w:tr w:rsidR="005E6748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5E6748" w:rsidRDefault="005E6748" w:rsidP="0080575F">
            <w:pPr>
              <w:spacing w:before="120" w:after="120"/>
            </w:pPr>
            <w:bookmarkStart w:id="76" w:name="_GoBack"/>
            <w:r w:rsidRPr="005E6748">
              <w:t>КОМПАНИЯ</w:t>
            </w:r>
          </w:p>
        </w:tc>
        <w:tc>
          <w:tcPr>
            <w:tcW w:w="221" w:type="pct"/>
          </w:tcPr>
          <w:p w:rsidR="005E6748" w:rsidRPr="00C1239A" w:rsidRDefault="0074234A" w:rsidP="0080575F">
            <w:pPr>
              <w:pStyle w:val="afd"/>
              <w:spacing w:before="120" w:after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5E6748" w:rsidRDefault="0074234A" w:rsidP="005E6748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г</w:t>
            </w:r>
            <w:r w:rsidR="005E6748" w:rsidRPr="005E6748">
              <w:t xml:space="preserve">руппа юридических лиц различных организационно-правовых форм, включая ПАО «НК «Роснефть», в отношении которых последнее выступает в качестве основного или преобладающего (участвующего) </w:t>
            </w:r>
            <w:r w:rsidR="00CF7763">
              <w:t>О</w:t>
            </w:r>
            <w:r w:rsidR="005E6748" w:rsidRPr="005E6748">
              <w:t>бщества.</w:t>
            </w:r>
          </w:p>
        </w:tc>
      </w:tr>
      <w:bookmarkEnd w:id="76"/>
      <w:tr w:rsidR="005E6748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5E6748" w:rsidRPr="005E6748" w:rsidRDefault="005E6748" w:rsidP="0080575F">
            <w:pPr>
              <w:spacing w:before="120" w:after="120"/>
            </w:pPr>
            <w:r w:rsidRPr="005E6748">
              <w:t>ОБЩЕСТВО ГРУППЫ (ОГ)</w:t>
            </w:r>
          </w:p>
        </w:tc>
        <w:tc>
          <w:tcPr>
            <w:tcW w:w="221" w:type="pct"/>
          </w:tcPr>
          <w:p w:rsidR="005E6748" w:rsidRPr="00C1239A" w:rsidRDefault="0074234A" w:rsidP="0080575F">
            <w:pPr>
              <w:pStyle w:val="afd"/>
              <w:spacing w:before="120" w:after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5E6748" w:rsidRPr="005E6748" w:rsidRDefault="0074234A" w:rsidP="005E6748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х</w:t>
            </w:r>
            <w:r w:rsidR="005E6748" w:rsidRPr="005E6748">
              <w:t>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5E6748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5E6748" w:rsidRDefault="005E6748" w:rsidP="0080575F">
            <w:pPr>
              <w:spacing w:before="120" w:after="120"/>
            </w:pPr>
            <w:r w:rsidRPr="002D2309">
              <w:lastRenderedPageBreak/>
              <w:t>ПРОГРАММА ПО БУРОВЫМ РАСТВОРАМ</w:t>
            </w:r>
            <w:r w:rsidRPr="005E6748">
              <w:t xml:space="preserve"> (ПБР)</w:t>
            </w:r>
          </w:p>
        </w:tc>
        <w:tc>
          <w:tcPr>
            <w:tcW w:w="221" w:type="pct"/>
          </w:tcPr>
          <w:p w:rsidR="005E6748" w:rsidRPr="00C1239A" w:rsidRDefault="0074234A" w:rsidP="0080575F">
            <w:pPr>
              <w:pStyle w:val="afd"/>
              <w:spacing w:before="120" w:after="120"/>
              <w:ind w:left="33"/>
              <w:contextualSpacing w:val="0"/>
            </w:pPr>
            <w:r w:rsidRPr="00C1239A">
              <w:t>–</w:t>
            </w:r>
          </w:p>
        </w:tc>
        <w:tc>
          <w:tcPr>
            <w:tcW w:w="3172" w:type="pct"/>
          </w:tcPr>
          <w:p w:rsidR="005E6748" w:rsidRDefault="0074234A" w:rsidP="005E6748">
            <w:pPr>
              <w:pStyle w:val="afd"/>
              <w:spacing w:before="120" w:after="120"/>
              <w:ind w:left="33"/>
              <w:contextualSpacing w:val="0"/>
              <w:jc w:val="both"/>
            </w:pPr>
            <w:proofErr w:type="gramStart"/>
            <w:r>
              <w:t>р</w:t>
            </w:r>
            <w:r w:rsidR="005E6748" w:rsidRPr="005E6748">
              <w:t>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</w:t>
            </w:r>
            <w:proofErr w:type="gramEnd"/>
            <w:r w:rsidR="005E6748" w:rsidRPr="005E6748">
              <w:t xml:space="preserve"> </w:t>
            </w:r>
            <w:proofErr w:type="gramStart"/>
            <w:r w:rsidR="005E6748" w:rsidRPr="005E6748">
              <w:t>процессе</w:t>
            </w:r>
            <w:proofErr w:type="gramEnd"/>
            <w:r w:rsidR="005E6748" w:rsidRPr="005E6748">
              <w:t xml:space="preserve"> бурения скважин, предложения по оптимизации процесса бурения, другую необходимую информацию.</w:t>
            </w:r>
          </w:p>
        </w:tc>
      </w:tr>
      <w:tr w:rsidR="005E6748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5E6748" w:rsidRDefault="005E6748" w:rsidP="0080575F">
            <w:pPr>
              <w:spacing w:before="120" w:after="120"/>
            </w:pPr>
            <w:r w:rsidRPr="005E6748">
              <w:t>ПРОЕКТНАЯ ДОКУМЕНТАЦИЯ</w:t>
            </w:r>
          </w:p>
        </w:tc>
        <w:tc>
          <w:tcPr>
            <w:tcW w:w="221" w:type="pct"/>
          </w:tcPr>
          <w:p w:rsidR="005E6748" w:rsidRPr="00C1239A" w:rsidRDefault="0074234A" w:rsidP="0080575F">
            <w:pPr>
              <w:pStyle w:val="afd"/>
              <w:spacing w:before="120" w:after="120"/>
              <w:ind w:left="33"/>
              <w:contextualSpacing w:val="0"/>
            </w:pPr>
            <w:r w:rsidRPr="0074234A">
              <w:t>–</w:t>
            </w:r>
          </w:p>
        </w:tc>
        <w:tc>
          <w:tcPr>
            <w:tcW w:w="3172" w:type="pct"/>
          </w:tcPr>
          <w:p w:rsidR="005E6748" w:rsidRDefault="0074234A" w:rsidP="005E6748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д</w:t>
            </w:r>
            <w:r w:rsidR="005E6748" w:rsidRPr="005E6748">
              <w:t>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      </w:r>
          </w:p>
        </w:tc>
      </w:tr>
      <w:tr w:rsidR="005E6748" w:rsidRPr="00E80EFE" w:rsidTr="00146005">
        <w:trPr>
          <w:trHeight w:val="20"/>
        </w:trPr>
        <w:tc>
          <w:tcPr>
            <w:tcW w:w="1607" w:type="pct"/>
            <w:shd w:val="clear" w:color="FFFFFF" w:fill="FFFFFF"/>
          </w:tcPr>
          <w:p w:rsidR="005E6748" w:rsidRDefault="005E6748" w:rsidP="0080575F">
            <w:pPr>
              <w:spacing w:before="120" w:after="120"/>
            </w:pPr>
            <w:r w:rsidRPr="005E6748">
              <w:t>ТЕХНИЧЕСКИЕ УСЛОВИЯ</w:t>
            </w:r>
          </w:p>
        </w:tc>
        <w:tc>
          <w:tcPr>
            <w:tcW w:w="221" w:type="pct"/>
          </w:tcPr>
          <w:p w:rsidR="005E6748" w:rsidRPr="00C1239A" w:rsidRDefault="00FF1D20" w:rsidP="0080575F">
            <w:pPr>
              <w:pStyle w:val="afd"/>
              <w:spacing w:before="120" w:after="120"/>
              <w:ind w:left="33"/>
              <w:contextualSpacing w:val="0"/>
            </w:pPr>
            <w:r w:rsidRPr="00FF1D20">
              <w:t>–</w:t>
            </w:r>
          </w:p>
        </w:tc>
        <w:tc>
          <w:tcPr>
            <w:tcW w:w="3172" w:type="pct"/>
          </w:tcPr>
          <w:p w:rsidR="005E6748" w:rsidRDefault="0074234A" w:rsidP="005E6748">
            <w:pPr>
              <w:pStyle w:val="afd"/>
              <w:spacing w:before="120" w:after="120"/>
              <w:ind w:left="33"/>
              <w:contextualSpacing w:val="0"/>
              <w:jc w:val="both"/>
            </w:pPr>
            <w:r>
              <w:t>д</w:t>
            </w:r>
            <w:r w:rsidR="005E6748" w:rsidRPr="005E6748">
              <w:t>окумент, устанавливающий технические требования, которым должны удовлетворять конкретное изделие, материал, вещество и пр. или их группа.</w:t>
            </w:r>
          </w:p>
        </w:tc>
      </w:tr>
    </w:tbl>
    <w:p w:rsidR="001F26F7" w:rsidRPr="00A51334" w:rsidRDefault="001F26F7" w:rsidP="001F26F7">
      <w:pPr>
        <w:rPr>
          <w:szCs w:val="24"/>
        </w:rPr>
      </w:pPr>
    </w:p>
    <w:p w:rsidR="001F26F7" w:rsidRPr="00A51334" w:rsidRDefault="001F26F7" w:rsidP="001F26F7">
      <w:pPr>
        <w:rPr>
          <w:szCs w:val="24"/>
        </w:rPr>
      </w:pPr>
    </w:p>
    <w:p w:rsidR="001F26F7" w:rsidRDefault="001F26F7" w:rsidP="001F26F7">
      <w:r>
        <w:t>РОЛИ КОРПОРАТИВНОГО ГЛОССАРИЯ</w:t>
      </w:r>
    </w:p>
    <w:p w:rsidR="001F26F7" w:rsidRPr="00A51334" w:rsidRDefault="001F26F7" w:rsidP="001F26F7">
      <w:pPr>
        <w:rPr>
          <w:szCs w:val="24"/>
        </w:rPr>
      </w:pPr>
    </w:p>
    <w:tbl>
      <w:tblPr>
        <w:tblW w:w="4874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6096"/>
      </w:tblGrid>
      <w:tr w:rsidR="00C1239A" w:rsidRPr="00E80EFE" w:rsidTr="00146005">
        <w:trPr>
          <w:trHeight w:val="20"/>
        </w:trPr>
        <w:tc>
          <w:tcPr>
            <w:tcW w:w="1606" w:type="pct"/>
            <w:shd w:val="clear" w:color="auto" w:fill="auto"/>
          </w:tcPr>
          <w:p w:rsidR="00C1239A" w:rsidRPr="00837262" w:rsidRDefault="005E6748" w:rsidP="00653B58">
            <w:pPr>
              <w:spacing w:before="120" w:after="120"/>
              <w:rPr>
                <w:szCs w:val="24"/>
              </w:rPr>
            </w:pPr>
            <w:r w:rsidRPr="005E6748">
              <w:rPr>
                <w:rFonts w:eastAsia="Times New Roman"/>
                <w:color w:val="000000"/>
                <w:lang w:eastAsia="ru-RU"/>
              </w:rPr>
              <w:t>ПОДРЯДНАЯ ОРГАНИЗАЦИЯ (ПОДРЯДЧИК)</w:t>
            </w:r>
          </w:p>
        </w:tc>
        <w:tc>
          <w:tcPr>
            <w:tcW w:w="221" w:type="pct"/>
            <w:shd w:val="clear" w:color="auto" w:fill="auto"/>
          </w:tcPr>
          <w:p w:rsidR="00C1239A" w:rsidRPr="004568C3" w:rsidRDefault="00C1239A" w:rsidP="00C1239A">
            <w:pPr>
              <w:spacing w:before="120" w:after="120"/>
              <w:jc w:val="both"/>
            </w:pPr>
            <w:r>
              <w:t>–</w:t>
            </w:r>
          </w:p>
        </w:tc>
        <w:tc>
          <w:tcPr>
            <w:tcW w:w="3173" w:type="pct"/>
          </w:tcPr>
          <w:p w:rsidR="00C1239A" w:rsidRPr="00837262" w:rsidRDefault="0074234A" w:rsidP="00C1239A">
            <w:pPr>
              <w:pStyle w:val="afd"/>
              <w:spacing w:before="120" w:after="120"/>
              <w:ind w:left="33"/>
              <w:contextualSpacing w:val="0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ф</w:t>
            </w:r>
            <w:r w:rsidR="005E6748" w:rsidRPr="005E6748">
              <w:rPr>
                <w:rFonts w:eastAsia="Times New Roman"/>
                <w:color w:val="000000"/>
                <w:lang w:eastAsia="ru-RU"/>
              </w:rPr>
              <w:t>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  <w:tr w:rsidR="00957A06" w:rsidRPr="00E80EFE" w:rsidTr="00146005">
        <w:trPr>
          <w:trHeight w:val="20"/>
        </w:trPr>
        <w:tc>
          <w:tcPr>
            <w:tcW w:w="1606" w:type="pct"/>
            <w:shd w:val="clear" w:color="auto" w:fill="auto"/>
          </w:tcPr>
          <w:p w:rsidR="00957A06" w:rsidRPr="005E6748" w:rsidRDefault="00957A06" w:rsidP="00653B58">
            <w:pPr>
              <w:spacing w:before="120" w:after="120"/>
              <w:rPr>
                <w:szCs w:val="24"/>
              </w:rPr>
            </w:pPr>
            <w:r w:rsidRPr="00957A06">
              <w:rPr>
                <w:szCs w:val="24"/>
              </w:rPr>
              <w:t>ПОКУПАТЕЛЬ</w:t>
            </w:r>
          </w:p>
        </w:tc>
        <w:tc>
          <w:tcPr>
            <w:tcW w:w="221" w:type="pct"/>
            <w:shd w:val="clear" w:color="auto" w:fill="auto"/>
          </w:tcPr>
          <w:p w:rsidR="00957A06" w:rsidRPr="00C1239A" w:rsidRDefault="005B62DA" w:rsidP="00C1239A">
            <w:pPr>
              <w:spacing w:before="120" w:after="12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5B62DA">
              <w:rPr>
                <w:rFonts w:eastAsia="Times New Roman"/>
                <w:color w:val="000000"/>
                <w:lang w:eastAsia="ru-RU"/>
              </w:rPr>
              <w:t>–</w:t>
            </w:r>
          </w:p>
        </w:tc>
        <w:tc>
          <w:tcPr>
            <w:tcW w:w="3173" w:type="pct"/>
          </w:tcPr>
          <w:p w:rsidR="00957A06" w:rsidRDefault="00957A06" w:rsidP="00C1239A">
            <w:pPr>
              <w:pStyle w:val="afd"/>
              <w:spacing w:before="120" w:after="120"/>
              <w:ind w:left="33"/>
              <w:contextualSpacing w:val="0"/>
              <w:jc w:val="both"/>
              <w:rPr>
                <w:szCs w:val="24"/>
              </w:rPr>
            </w:pPr>
            <w:r w:rsidRPr="00957A06">
              <w:rPr>
                <w:szCs w:val="24"/>
              </w:rPr>
              <w:t>физическое или юридическое лицо, являющееся приобретателем товара, работ, услуг на возмездной основе.</w:t>
            </w:r>
          </w:p>
        </w:tc>
      </w:tr>
      <w:tr w:rsidR="005B62DA" w:rsidRPr="00E80EFE" w:rsidTr="00146005">
        <w:trPr>
          <w:trHeight w:val="20"/>
        </w:trPr>
        <w:tc>
          <w:tcPr>
            <w:tcW w:w="1606" w:type="pct"/>
            <w:shd w:val="clear" w:color="auto" w:fill="auto"/>
          </w:tcPr>
          <w:p w:rsidR="005B62DA" w:rsidRPr="005E6748" w:rsidRDefault="005B62DA" w:rsidP="00653B58">
            <w:pPr>
              <w:spacing w:before="120" w:after="120"/>
              <w:rPr>
                <w:szCs w:val="24"/>
              </w:rPr>
            </w:pPr>
            <w:r w:rsidRPr="005B62DA">
              <w:rPr>
                <w:szCs w:val="24"/>
              </w:rPr>
              <w:t>ПОСТАВЩИК</w:t>
            </w:r>
          </w:p>
        </w:tc>
        <w:tc>
          <w:tcPr>
            <w:tcW w:w="221" w:type="pct"/>
            <w:shd w:val="clear" w:color="auto" w:fill="auto"/>
          </w:tcPr>
          <w:p w:rsidR="005B62DA" w:rsidRPr="00C1239A" w:rsidRDefault="005B62DA" w:rsidP="00C1239A">
            <w:pPr>
              <w:spacing w:before="120" w:after="12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5B62DA">
              <w:rPr>
                <w:rFonts w:eastAsia="Times New Roman"/>
                <w:color w:val="000000"/>
                <w:lang w:eastAsia="ru-RU"/>
              </w:rPr>
              <w:t>–</w:t>
            </w:r>
          </w:p>
        </w:tc>
        <w:tc>
          <w:tcPr>
            <w:tcW w:w="3173" w:type="pct"/>
          </w:tcPr>
          <w:p w:rsidR="005B62DA" w:rsidRDefault="005B62DA" w:rsidP="00C1239A">
            <w:pPr>
              <w:pStyle w:val="afd"/>
              <w:spacing w:before="120" w:after="120"/>
              <w:ind w:left="33"/>
              <w:contextualSpacing w:val="0"/>
              <w:jc w:val="both"/>
              <w:rPr>
                <w:szCs w:val="24"/>
              </w:rPr>
            </w:pPr>
            <w:r w:rsidRPr="005B62DA">
              <w:rPr>
                <w:szCs w:val="24"/>
              </w:rPr>
              <w:t>юридическое или физическое лицо, в том числе индивидуальный предприниматель (или объединение таких лиц), способное на законных основаниях поставить материально-технические ресурсы, выполнить работу, оказать услугу в соответствии с предъявляемыми Заказчиком требованиями.</w:t>
            </w:r>
          </w:p>
        </w:tc>
      </w:tr>
      <w:tr w:rsidR="00C1239A" w:rsidRPr="00E80EFE" w:rsidTr="00146005">
        <w:trPr>
          <w:trHeight w:val="20"/>
        </w:trPr>
        <w:tc>
          <w:tcPr>
            <w:tcW w:w="1606" w:type="pct"/>
            <w:shd w:val="clear" w:color="auto" w:fill="auto"/>
          </w:tcPr>
          <w:p w:rsidR="00C1239A" w:rsidRPr="00837262" w:rsidRDefault="005E6748" w:rsidP="00653B58">
            <w:pPr>
              <w:spacing w:before="120" w:after="120"/>
              <w:rPr>
                <w:szCs w:val="24"/>
              </w:rPr>
            </w:pPr>
            <w:r w:rsidRPr="005E6748">
              <w:rPr>
                <w:szCs w:val="24"/>
              </w:rPr>
              <w:t>СУПЕРВАЙЗЕР</w:t>
            </w:r>
          </w:p>
        </w:tc>
        <w:tc>
          <w:tcPr>
            <w:tcW w:w="221" w:type="pct"/>
            <w:shd w:val="clear" w:color="auto" w:fill="auto"/>
          </w:tcPr>
          <w:p w:rsidR="00C1239A" w:rsidRPr="00C1239A" w:rsidRDefault="00C1239A" w:rsidP="00C1239A">
            <w:pPr>
              <w:spacing w:before="120" w:after="12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1239A">
              <w:rPr>
                <w:rFonts w:eastAsia="Times New Roman"/>
                <w:color w:val="000000"/>
                <w:lang w:eastAsia="ru-RU"/>
              </w:rPr>
              <w:t>–</w:t>
            </w:r>
          </w:p>
        </w:tc>
        <w:tc>
          <w:tcPr>
            <w:tcW w:w="3173" w:type="pct"/>
          </w:tcPr>
          <w:p w:rsidR="00C1239A" w:rsidRPr="00837262" w:rsidRDefault="0074234A" w:rsidP="00C1239A">
            <w:pPr>
              <w:pStyle w:val="afd"/>
              <w:spacing w:before="120" w:after="120"/>
              <w:ind w:left="33"/>
              <w:contextualSpacing w:val="0"/>
              <w:jc w:val="both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5E6748" w:rsidRPr="005E6748">
              <w:rPr>
                <w:szCs w:val="24"/>
              </w:rPr>
              <w:t xml:space="preserve">пециалист, являющийся полномочным представителем Заказчика и осуществляющий в его интересах </w:t>
            </w:r>
            <w:proofErr w:type="spellStart"/>
            <w:r w:rsidR="005E6748" w:rsidRPr="005E6748">
              <w:rPr>
                <w:szCs w:val="24"/>
              </w:rPr>
              <w:lastRenderedPageBreak/>
              <w:t>супервайзинг</w:t>
            </w:r>
            <w:proofErr w:type="spellEnd"/>
            <w:r w:rsidR="005E6748" w:rsidRPr="005E6748">
              <w:rPr>
                <w:szCs w:val="24"/>
              </w:rPr>
              <w:t xml:space="preserve"> на объекте выполнения работ.</w:t>
            </w:r>
          </w:p>
        </w:tc>
      </w:tr>
    </w:tbl>
    <w:p w:rsidR="00CC10B7" w:rsidRPr="00957A06" w:rsidRDefault="00CC10B7" w:rsidP="005D759B">
      <w:pPr>
        <w:rPr>
          <w:szCs w:val="24"/>
        </w:rPr>
      </w:pPr>
    </w:p>
    <w:sectPr w:rsidR="00CC10B7" w:rsidRPr="00957A06" w:rsidSect="00742A5E">
      <w:headerReference w:type="default" r:id="rId9"/>
      <w:footerReference w:type="default" r:id="rId1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CA" w:rsidRDefault="00AF3DCA" w:rsidP="000D7C6A">
      <w:r>
        <w:separator/>
      </w:r>
    </w:p>
  </w:endnote>
  <w:endnote w:type="continuationSeparator" w:id="0">
    <w:p w:rsidR="00AF3DCA" w:rsidRDefault="00AF3DC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9180"/>
      <w:gridCol w:w="426"/>
    </w:tblGrid>
    <w:tr w:rsidR="00C1239A" w:rsidTr="00C1239A">
      <w:tc>
        <w:tcPr>
          <w:tcW w:w="9180" w:type="dxa"/>
          <w:tcBorders>
            <w:top w:val="single" w:sz="12" w:space="0" w:color="FFD200"/>
            <w:left w:val="nil"/>
            <w:bottom w:val="nil"/>
            <w:right w:val="nil"/>
          </w:tcBorders>
          <w:vAlign w:val="center"/>
        </w:tcPr>
        <w:p w:rsidR="00C1239A" w:rsidRPr="00140322" w:rsidRDefault="00C1239A" w:rsidP="00552696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  <w:tcBorders>
            <w:top w:val="single" w:sz="12" w:space="0" w:color="FFD200"/>
            <w:left w:val="nil"/>
            <w:bottom w:val="nil"/>
            <w:right w:val="nil"/>
          </w:tcBorders>
        </w:tcPr>
        <w:p w:rsidR="00C1239A" w:rsidRDefault="00C1239A" w:rsidP="0055269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1239A" w:rsidTr="00C1239A">
      <w:tc>
        <w:tcPr>
          <w:tcW w:w="9180" w:type="dxa"/>
          <w:vAlign w:val="center"/>
        </w:tcPr>
        <w:p w:rsidR="00C1239A" w:rsidRPr="00140322" w:rsidRDefault="00C1239A" w:rsidP="00C1239A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426" w:type="dxa"/>
        </w:tcPr>
        <w:p w:rsidR="00C1239A" w:rsidRDefault="00C1239A" w:rsidP="0055269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04DC5" w:rsidRPr="00C1239A" w:rsidRDefault="00552696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26740C" wp14:editId="7E3EAD59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696" w:rsidRPr="004511AD" w:rsidRDefault="00552696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F27C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F27C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:rsidR="00552696" w:rsidRPr="004511AD" w:rsidRDefault="00552696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F27C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F27C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CA" w:rsidRDefault="00AF3DCA" w:rsidP="000D7C6A">
      <w:r>
        <w:separator/>
      </w:r>
    </w:p>
  </w:footnote>
  <w:footnote w:type="continuationSeparator" w:id="0">
    <w:p w:rsidR="00AF3DCA" w:rsidRDefault="00AF3DCA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6793"/>
      <w:gridCol w:w="3061"/>
    </w:tblGrid>
    <w:tr w:rsidR="00957A06" w:rsidRPr="00957A06" w:rsidTr="00604A66">
      <w:trPr>
        <w:trHeight w:val="175"/>
      </w:trPr>
      <w:tc>
        <w:tcPr>
          <w:tcW w:w="3447" w:type="pct"/>
          <w:vAlign w:val="center"/>
        </w:tcPr>
        <w:p w:rsidR="00957A06" w:rsidRPr="00957A06" w:rsidRDefault="00957A06" w:rsidP="00957A06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957A06">
            <w:rPr>
              <w:rFonts w:ascii="Arial" w:eastAsia="PMingLiU" w:hAnsi="Arial" w:cs="Arial"/>
              <w:b/>
              <w:sz w:val="10"/>
              <w:szCs w:val="10"/>
            </w:rPr>
            <w:t>ТИПОВЫЕ ТРЕБОВАНИЯ КОМПАНИИ № П2-05.01 ТТР-0006</w:t>
          </w:r>
        </w:p>
      </w:tc>
      <w:tc>
        <w:tcPr>
          <w:tcW w:w="1553" w:type="pct"/>
          <w:vAlign w:val="center"/>
        </w:tcPr>
        <w:p w:rsidR="00957A06" w:rsidRPr="00957A06" w:rsidRDefault="00957A06" w:rsidP="00957A0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  <w:lang w:val="en-US"/>
            </w:rPr>
          </w:pPr>
          <w:r w:rsidRPr="00957A06">
            <w:rPr>
              <w:rFonts w:ascii="Arial" w:eastAsia="PMingLiU" w:hAnsi="Arial" w:cs="Arial"/>
              <w:b/>
              <w:sz w:val="10"/>
              <w:szCs w:val="10"/>
            </w:rPr>
            <w:t xml:space="preserve">ВЕРСИЯ </w:t>
          </w:r>
          <w:r w:rsidRPr="00957A06">
            <w:rPr>
              <w:rFonts w:ascii="Arial" w:eastAsia="PMingLiU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957A06" w:rsidRPr="00957A06" w:rsidTr="00604A66">
      <w:trPr>
        <w:trHeight w:val="175"/>
      </w:trPr>
      <w:tc>
        <w:tcPr>
          <w:tcW w:w="3447" w:type="pct"/>
          <w:tcBorders>
            <w:bottom w:val="single" w:sz="12" w:space="0" w:color="FFD200"/>
          </w:tcBorders>
          <w:vAlign w:val="center"/>
        </w:tcPr>
        <w:p w:rsidR="00957A06" w:rsidRPr="00957A06" w:rsidRDefault="00957A06" w:rsidP="00957A06">
          <w:pPr>
            <w:tabs>
              <w:tab w:val="center" w:pos="4677"/>
              <w:tab w:val="right" w:pos="9355"/>
            </w:tabs>
            <w:spacing w:before="60"/>
            <w:jc w:val="both"/>
            <w:rPr>
              <w:rFonts w:ascii="Arial" w:eastAsia="PMingLiU" w:hAnsi="Arial" w:cs="Arial"/>
              <w:b/>
              <w:sz w:val="10"/>
              <w:szCs w:val="10"/>
            </w:rPr>
          </w:pPr>
          <w:r w:rsidRPr="00957A06">
            <w:rPr>
              <w:rFonts w:ascii="Arial" w:eastAsia="PMingLiU" w:hAnsi="Arial" w:cs="Arial"/>
              <w:b/>
              <w:sz w:val="10"/>
              <w:szCs w:val="10"/>
            </w:rPr>
            <w:t>ИНЖЕНЕРНО-ТЕХНОЛОГИЧЕСКОЕ СОПРОВОЖДЕНИЕ БУРОВЫХ РАСТВОРОВ</w:t>
          </w:r>
        </w:p>
      </w:tc>
      <w:tc>
        <w:tcPr>
          <w:tcW w:w="1553" w:type="pct"/>
          <w:tcBorders>
            <w:bottom w:val="single" w:sz="12" w:space="0" w:color="FFD200"/>
          </w:tcBorders>
          <w:vAlign w:val="center"/>
        </w:tcPr>
        <w:p w:rsidR="00957A06" w:rsidRPr="00957A06" w:rsidRDefault="00957A06" w:rsidP="00957A0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PMingLiU" w:hAnsi="Arial" w:cs="Arial"/>
              <w:b/>
              <w:sz w:val="10"/>
              <w:szCs w:val="10"/>
            </w:rPr>
          </w:pPr>
          <w:r w:rsidRPr="00957A06">
            <w:rPr>
              <w:rFonts w:ascii="Arial" w:eastAsia="PMingLiU" w:hAnsi="Arial" w:cs="Arial"/>
              <w:b/>
              <w:sz w:val="10"/>
              <w:szCs w:val="10"/>
            </w:rPr>
            <w:t>ОТКРЫТЫЙ ЛНД</w:t>
          </w:r>
        </w:p>
      </w:tc>
    </w:tr>
  </w:tbl>
  <w:p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3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6CA534C"/>
    <w:multiLevelType w:val="hybridMultilevel"/>
    <w:tmpl w:val="8C60B876"/>
    <w:lvl w:ilvl="0" w:tplc="7AE87D92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6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7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5CF61E92"/>
    <w:multiLevelType w:val="hybridMultilevel"/>
    <w:tmpl w:val="E65013D8"/>
    <w:lvl w:ilvl="0" w:tplc="7AE87D92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9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0"/>
  </w:num>
  <w:num w:numId="3">
    <w:abstractNumId w:val="49"/>
  </w:num>
  <w:num w:numId="4">
    <w:abstractNumId w:val="22"/>
  </w:num>
  <w:num w:numId="5">
    <w:abstractNumId w:val="6"/>
  </w:num>
  <w:num w:numId="6">
    <w:abstractNumId w:val="43"/>
  </w:num>
  <w:num w:numId="7">
    <w:abstractNumId w:val="12"/>
  </w:num>
  <w:num w:numId="8">
    <w:abstractNumId w:val="33"/>
  </w:num>
  <w:num w:numId="9">
    <w:abstractNumId w:val="16"/>
  </w:num>
  <w:num w:numId="10">
    <w:abstractNumId w:val="19"/>
  </w:num>
  <w:num w:numId="11">
    <w:abstractNumId w:val="36"/>
  </w:num>
  <w:num w:numId="12">
    <w:abstractNumId w:val="29"/>
  </w:num>
  <w:num w:numId="13">
    <w:abstractNumId w:val="8"/>
  </w:num>
  <w:num w:numId="14">
    <w:abstractNumId w:val="53"/>
  </w:num>
  <w:num w:numId="15">
    <w:abstractNumId w:val="26"/>
  </w:num>
  <w:num w:numId="16">
    <w:abstractNumId w:val="30"/>
  </w:num>
  <w:num w:numId="17">
    <w:abstractNumId w:val="18"/>
  </w:num>
  <w:num w:numId="18">
    <w:abstractNumId w:val="9"/>
  </w:num>
  <w:num w:numId="19">
    <w:abstractNumId w:val="24"/>
  </w:num>
  <w:num w:numId="20">
    <w:abstractNumId w:val="27"/>
  </w:num>
  <w:num w:numId="21">
    <w:abstractNumId w:val="46"/>
  </w:num>
  <w:num w:numId="22">
    <w:abstractNumId w:val="40"/>
  </w:num>
  <w:num w:numId="23">
    <w:abstractNumId w:val="21"/>
  </w:num>
  <w:num w:numId="24">
    <w:abstractNumId w:val="20"/>
  </w:num>
  <w:num w:numId="25">
    <w:abstractNumId w:val="45"/>
  </w:num>
  <w:num w:numId="26">
    <w:abstractNumId w:val="48"/>
  </w:num>
  <w:num w:numId="27">
    <w:abstractNumId w:val="15"/>
  </w:num>
  <w:num w:numId="28">
    <w:abstractNumId w:val="34"/>
  </w:num>
  <w:num w:numId="29">
    <w:abstractNumId w:val="23"/>
  </w:num>
  <w:num w:numId="30">
    <w:abstractNumId w:val="51"/>
  </w:num>
  <w:num w:numId="31">
    <w:abstractNumId w:val="2"/>
  </w:num>
  <w:num w:numId="32">
    <w:abstractNumId w:val="47"/>
  </w:num>
  <w:num w:numId="33">
    <w:abstractNumId w:val="5"/>
  </w:num>
  <w:num w:numId="34">
    <w:abstractNumId w:val="3"/>
  </w:num>
  <w:num w:numId="35">
    <w:abstractNumId w:val="11"/>
  </w:num>
  <w:num w:numId="36">
    <w:abstractNumId w:val="32"/>
  </w:num>
  <w:num w:numId="37">
    <w:abstractNumId w:val="39"/>
  </w:num>
  <w:num w:numId="38">
    <w:abstractNumId w:val="13"/>
  </w:num>
  <w:num w:numId="39">
    <w:abstractNumId w:val="10"/>
  </w:num>
  <w:num w:numId="40">
    <w:abstractNumId w:val="31"/>
  </w:num>
  <w:num w:numId="41">
    <w:abstractNumId w:val="28"/>
  </w:num>
  <w:num w:numId="42">
    <w:abstractNumId w:val="44"/>
  </w:num>
  <w:num w:numId="43">
    <w:abstractNumId w:val="37"/>
  </w:num>
  <w:num w:numId="44">
    <w:abstractNumId w:val="25"/>
  </w:num>
  <w:num w:numId="45">
    <w:abstractNumId w:val="17"/>
  </w:num>
  <w:num w:numId="46">
    <w:abstractNumId w:val="4"/>
  </w:num>
  <w:num w:numId="47">
    <w:abstractNumId w:val="41"/>
  </w:num>
  <w:num w:numId="48">
    <w:abstractNumId w:val="7"/>
  </w:num>
  <w:num w:numId="49">
    <w:abstractNumId w:val="14"/>
  </w:num>
  <w:num w:numId="50">
    <w:abstractNumId w:val="42"/>
  </w:num>
  <w:num w:numId="51">
    <w:abstractNumId w:val="52"/>
  </w:num>
  <w:num w:numId="52">
    <w:abstractNumId w:val="38"/>
  </w:num>
  <w:num w:numId="53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065B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2D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11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270D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005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603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AA6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BC7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309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1E33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3CBB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C7DC8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76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C76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24B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80F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42E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27B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B23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D73"/>
    <w:rsid w:val="00532EB4"/>
    <w:rsid w:val="00533629"/>
    <w:rsid w:val="005336F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4FD7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99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06C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199F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2DA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59B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748"/>
    <w:rsid w:val="005E6E08"/>
    <w:rsid w:val="005E77B1"/>
    <w:rsid w:val="005E7B3E"/>
    <w:rsid w:val="005F01C6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0A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443"/>
    <w:rsid w:val="006E5A1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34A"/>
    <w:rsid w:val="007427CE"/>
    <w:rsid w:val="00742832"/>
    <w:rsid w:val="00742A5E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75F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2B6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35D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262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4EFC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D2E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8DD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A06"/>
    <w:rsid w:val="00957B8A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6D7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334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580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90B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7D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6587"/>
    <w:rsid w:val="00AD71AD"/>
    <w:rsid w:val="00AD7293"/>
    <w:rsid w:val="00AD7A34"/>
    <w:rsid w:val="00AD7A40"/>
    <w:rsid w:val="00AE04EC"/>
    <w:rsid w:val="00AE0538"/>
    <w:rsid w:val="00AE0545"/>
    <w:rsid w:val="00AE0D68"/>
    <w:rsid w:val="00AE0E86"/>
    <w:rsid w:val="00AE10C2"/>
    <w:rsid w:val="00AE13F4"/>
    <w:rsid w:val="00AE15EC"/>
    <w:rsid w:val="00AE16BD"/>
    <w:rsid w:val="00AE1F43"/>
    <w:rsid w:val="00AE26A8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1"/>
    <w:rsid w:val="00AF27C4"/>
    <w:rsid w:val="00AF2D3F"/>
    <w:rsid w:val="00AF2F08"/>
    <w:rsid w:val="00AF2F53"/>
    <w:rsid w:val="00AF352A"/>
    <w:rsid w:val="00AF3859"/>
    <w:rsid w:val="00AF3A34"/>
    <w:rsid w:val="00AF3AF0"/>
    <w:rsid w:val="00AF3DCA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3FA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35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3D4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0C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73F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7DC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421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C80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9A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1E3C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A1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0B7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925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763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0FA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04BB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67BEF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156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BF5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32D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00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887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52"/>
    <w:rsid w:val="00FC0EFD"/>
    <w:rsid w:val="00FC0F15"/>
    <w:rsid w:val="00FC1193"/>
    <w:rsid w:val="00FC1291"/>
    <w:rsid w:val="00FC1CDC"/>
    <w:rsid w:val="00FC24EE"/>
    <w:rsid w:val="00FC28FE"/>
    <w:rsid w:val="00FC2A6E"/>
    <w:rsid w:val="00FC2B5A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1D20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paragraph" w:customStyle="1" w:styleId="Style5">
    <w:name w:val="Style5"/>
    <w:basedOn w:val="a0"/>
    <w:link w:val="Style5Char"/>
    <w:uiPriority w:val="79"/>
    <w:qFormat/>
    <w:rsid w:val="00837262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pacing w:beforeLines="120" w:before="240"/>
      <w:jc w:val="both"/>
    </w:pPr>
    <w:rPr>
      <w:rFonts w:ascii="Arial" w:eastAsia="Tahoma" w:hAnsi="Arial"/>
      <w:b/>
      <w:i/>
      <w:caps/>
      <w:sz w:val="20"/>
      <w:szCs w:val="20"/>
      <w:lang w:val="en-GB"/>
    </w:rPr>
  </w:style>
  <w:style w:type="character" w:customStyle="1" w:styleId="Style5Char">
    <w:name w:val="Style5 Char"/>
    <w:link w:val="Style5"/>
    <w:uiPriority w:val="79"/>
    <w:rsid w:val="00837262"/>
    <w:rPr>
      <w:rFonts w:ascii="Arial" w:eastAsia="Tahoma" w:hAnsi="Arial"/>
      <w:b/>
      <w:i/>
      <w:cap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paragraph" w:customStyle="1" w:styleId="Style5">
    <w:name w:val="Style5"/>
    <w:basedOn w:val="a0"/>
    <w:link w:val="Style5Char"/>
    <w:uiPriority w:val="79"/>
    <w:qFormat/>
    <w:rsid w:val="00837262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pacing w:beforeLines="120" w:before="240"/>
      <w:jc w:val="both"/>
    </w:pPr>
    <w:rPr>
      <w:rFonts w:ascii="Arial" w:eastAsia="Tahoma" w:hAnsi="Arial"/>
      <w:b/>
      <w:i/>
      <w:caps/>
      <w:sz w:val="20"/>
      <w:szCs w:val="20"/>
      <w:lang w:val="en-GB"/>
    </w:rPr>
  </w:style>
  <w:style w:type="character" w:customStyle="1" w:styleId="Style5Char">
    <w:name w:val="Style5 Char"/>
    <w:link w:val="Style5"/>
    <w:uiPriority w:val="79"/>
    <w:rsid w:val="00837262"/>
    <w:rPr>
      <w:rFonts w:ascii="Arial" w:eastAsia="Tahoma" w:hAnsi="Arial"/>
      <w:b/>
      <w:i/>
      <w:cap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765A0-1F91-4E8C-B04D-293E52E3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3969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Елена Анатольевна</dc:creator>
  <cp:lastModifiedBy>Павлова Елена Александровна</cp:lastModifiedBy>
  <cp:revision>48</cp:revision>
  <cp:lastPrinted>2020-03-13T07:33:00Z</cp:lastPrinted>
  <dcterms:created xsi:type="dcterms:W3CDTF">2020-10-13T15:28:00Z</dcterms:created>
  <dcterms:modified xsi:type="dcterms:W3CDTF">2021-01-26T10:48:00Z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